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1F46A" w14:textId="535CDBD0" w:rsidR="00EE6BD0" w:rsidRDefault="00EE6BD0" w:rsidP="00EE6BD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3B5409">
        <w:rPr>
          <w:rFonts w:ascii="Arial" w:hAnsi="Arial" w:cs="Arial"/>
          <w:b/>
          <w:sz w:val="24"/>
          <w:szCs w:val="28"/>
          <w:lang w:val="en-US"/>
        </w:rPr>
        <w:t>2140</w:t>
      </w:r>
    </w:p>
    <w:p w14:paraId="449A6392" w14:textId="77777777" w:rsidR="00EE6BD0" w:rsidRPr="001D2FBF" w:rsidRDefault="00EE6BD0" w:rsidP="00EE6BD0">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06FF7D19"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9BE">
        <w:rPr>
          <w:rFonts w:ascii="Arial" w:hAnsi="Arial" w:cs="Arial"/>
          <w:color w:val="000000"/>
          <w:sz w:val="22"/>
        </w:rPr>
        <w:t>8</w:t>
      </w:r>
      <w:r w:rsidR="0087661A">
        <w:rPr>
          <w:rFonts w:ascii="Arial" w:hAnsi="Arial" w:cs="Arial"/>
          <w:color w:val="000000"/>
          <w:sz w:val="22"/>
        </w:rPr>
        <w:t>.1</w:t>
      </w:r>
      <w:r w:rsidR="00A64DC7">
        <w:rPr>
          <w:rFonts w:ascii="Arial" w:hAnsi="Arial" w:cs="Arial"/>
          <w:color w:val="000000"/>
          <w:sz w:val="22"/>
        </w:rPr>
        <w:t>0</w:t>
      </w:r>
      <w:r w:rsidR="0087661A">
        <w:rPr>
          <w:rFonts w:ascii="Arial" w:hAnsi="Arial" w:cs="Arial"/>
          <w:color w:val="000000"/>
          <w:sz w:val="22"/>
        </w:rPr>
        <w:t>.2</w:t>
      </w:r>
      <w:r w:rsidR="00EC009E">
        <w:rPr>
          <w:rFonts w:ascii="Arial" w:hAnsi="Arial" w:cs="Arial"/>
          <w:color w:val="000000"/>
          <w:sz w:val="22"/>
        </w:rPr>
        <w:t>.1</w:t>
      </w:r>
    </w:p>
    <w:p w14:paraId="60581EBF" w14:textId="0A689F1F" w:rsidR="00100FB2" w:rsidRPr="00915D73" w:rsidRDefault="00100FB2" w:rsidP="00100FB2">
      <w:pPr>
        <w:spacing w:after="120"/>
        <w:ind w:left="1985" w:hanging="1985"/>
        <w:rPr>
          <w:rFonts w:ascii="Arial" w:hAnsi="Arial" w:cs="Arial" w:hint="eastAsia"/>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r w:rsidR="003B5409" w:rsidRPr="003B5409">
        <w:rPr>
          <w:rFonts w:ascii="Arial" w:hAnsi="Arial" w:cs="Arial"/>
          <w:color w:val="000000"/>
          <w:sz w:val="22"/>
        </w:rPr>
        <w:t>, Vodafone</w:t>
      </w:r>
    </w:p>
    <w:p w14:paraId="2FA05DF4" w14:textId="4FD4BD8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A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264B8062" w:rsidR="00270832" w:rsidRDefault="00270832" w:rsidP="00270832">
      <w:pPr>
        <w:spacing w:before="120" w:after="0"/>
        <w:jc w:val="both"/>
        <w:rPr>
          <w:lang w:val="en-US"/>
        </w:rPr>
      </w:pPr>
      <w:bookmarkStart w:id="4" w:name="_Hlk142416711"/>
      <w:r w:rsidRPr="00D12C63">
        <w:rPr>
          <w:lang w:val="en-US"/>
        </w:rPr>
        <w:t>In the RAN</w:t>
      </w:r>
      <w:r w:rsidR="005C09C3">
        <w:rPr>
          <w:lang w:val="en-US"/>
        </w:rPr>
        <w:t>4</w:t>
      </w:r>
      <w:r w:rsidRPr="00D12C63">
        <w:rPr>
          <w:lang w:val="en-US"/>
        </w:rPr>
        <w:t>#</w:t>
      </w:r>
      <w:r w:rsidR="005C09C3">
        <w:rPr>
          <w:lang w:val="en-US"/>
        </w:rPr>
        <w:t>106-bis-</w:t>
      </w:r>
      <w:r w:rsidR="00824EAD">
        <w:rPr>
          <w:lang w:val="en-US"/>
        </w:rPr>
        <w:t>e</w:t>
      </w:r>
      <w:r w:rsidRPr="00D12C63">
        <w:rPr>
          <w:lang w:val="en-US"/>
        </w:rPr>
        <w:t xml:space="preserve"> meeting, </w:t>
      </w:r>
      <w:r w:rsidR="005C09C3">
        <w:rPr>
          <w:lang w:val="en-US"/>
        </w:rPr>
        <w:t xml:space="preserve">discussions </w:t>
      </w:r>
      <w:r w:rsidR="00C95617">
        <w:rPr>
          <w:lang w:val="en-US"/>
        </w:rPr>
        <w:t>on the</w:t>
      </w:r>
      <w:r w:rsidR="005256CC">
        <w:rPr>
          <w:lang w:val="en-US"/>
        </w:rPr>
        <w:t xml:space="preserve"> new WID to c</w:t>
      </w:r>
      <w:r w:rsidR="005256CC" w:rsidRPr="005256CC">
        <w:rPr>
          <w:lang w:val="en-US"/>
        </w:rPr>
        <w:t xml:space="preserve">omplete the specification support for </w:t>
      </w:r>
      <w:r w:rsidR="00571346">
        <w:rPr>
          <w:lang w:val="en-US"/>
        </w:rPr>
        <w:t>BWP</w:t>
      </w:r>
      <w:r w:rsidR="005256CC" w:rsidRPr="005256CC">
        <w:rPr>
          <w:lang w:val="en-US"/>
        </w:rPr>
        <w:t xml:space="preserve"> operation without restriction in NR</w:t>
      </w:r>
      <w:r w:rsidR="00C95617">
        <w:rPr>
          <w:lang w:val="en-US"/>
        </w:rPr>
        <w:t xml:space="preserve"> was started</w:t>
      </w:r>
      <w:r w:rsidR="005C09C3">
        <w:rPr>
          <w:lang w:val="en-US"/>
        </w:rPr>
        <w:t>.</w:t>
      </w:r>
      <w:r w:rsidR="000E354D">
        <w:rPr>
          <w:lang w:val="en-US"/>
        </w:rPr>
        <w:t xml:space="preserve"> The progress was captured in the WF [1].</w:t>
      </w:r>
      <w:r w:rsidR="00E54FA5">
        <w:rPr>
          <w:lang w:val="en-US"/>
        </w:rPr>
        <w:t xml:space="preserve"> </w:t>
      </w:r>
      <w:r w:rsidR="00C95617" w:rsidRPr="00D12C63">
        <w:rPr>
          <w:lang w:val="en-US"/>
        </w:rPr>
        <w:t>In the RAN</w:t>
      </w:r>
      <w:r w:rsidR="00C95617">
        <w:rPr>
          <w:lang w:val="en-US"/>
        </w:rPr>
        <w:t>4</w:t>
      </w:r>
      <w:r w:rsidR="00C95617" w:rsidRPr="00D12C63">
        <w:rPr>
          <w:lang w:val="en-US"/>
        </w:rPr>
        <w:t>#</w:t>
      </w:r>
      <w:r w:rsidR="00C95617">
        <w:rPr>
          <w:lang w:val="en-US"/>
        </w:rPr>
        <w:t>107</w:t>
      </w:r>
      <w:r w:rsidR="00C95617" w:rsidRPr="00D12C63">
        <w:rPr>
          <w:lang w:val="en-US"/>
        </w:rPr>
        <w:t xml:space="preserve"> meeting,</w:t>
      </w:r>
      <w:r w:rsidR="00C95617">
        <w:rPr>
          <w:lang w:val="en-US"/>
        </w:rPr>
        <w:t xml:space="preserve"> </w:t>
      </w:r>
      <w:r w:rsidR="00512B84">
        <w:rPr>
          <w:lang w:val="en-US"/>
        </w:rPr>
        <w:t>t</w:t>
      </w:r>
      <w:r w:rsidR="005C09C3">
        <w:rPr>
          <w:lang w:val="en-US"/>
        </w:rPr>
        <w:t>he</w:t>
      </w:r>
      <w:r w:rsidR="00C95617">
        <w:rPr>
          <w:lang w:val="en-US"/>
        </w:rPr>
        <w:t xml:space="preserve">re were further discussions on L1 and L3 measurements for </w:t>
      </w:r>
      <w:r w:rsidR="00512B84">
        <w:rPr>
          <w:lang w:val="en-US"/>
        </w:rPr>
        <w:t xml:space="preserve">options </w:t>
      </w:r>
      <w:r w:rsidR="00C95617">
        <w:rPr>
          <w:lang w:val="en-US"/>
        </w:rPr>
        <w:t>supporting BWP operation without restriction.</w:t>
      </w:r>
      <w:r w:rsidR="005C09C3">
        <w:rPr>
          <w:lang w:val="en-US"/>
        </w:rPr>
        <w:t xml:space="preserve"> </w:t>
      </w:r>
      <w:r w:rsidR="00512B84">
        <w:rPr>
          <w:lang w:val="en-US"/>
        </w:rPr>
        <w:t>A</w:t>
      </w:r>
      <w:r w:rsidR="005C09C3">
        <w:rPr>
          <w:lang w:val="en-US"/>
        </w:rPr>
        <w:t>greements and open issues are captured in the WF [</w:t>
      </w:r>
      <w:r w:rsidR="001C6DA2">
        <w:rPr>
          <w:lang w:val="en-US"/>
        </w:rPr>
        <w:t>2</w:t>
      </w:r>
      <w:r w:rsidR="005C09C3">
        <w:rPr>
          <w:lang w:val="en-US"/>
        </w:rPr>
        <w:t>].</w:t>
      </w:r>
    </w:p>
    <w:tbl>
      <w:tblPr>
        <w:tblStyle w:val="afff5"/>
        <w:tblW w:w="0" w:type="auto"/>
        <w:tblInd w:w="0" w:type="dxa"/>
        <w:tblLook w:val="04A0" w:firstRow="1" w:lastRow="0" w:firstColumn="1" w:lastColumn="0" w:noHBand="0" w:noVBand="1"/>
      </w:tblPr>
      <w:tblGrid>
        <w:gridCol w:w="9630"/>
      </w:tblGrid>
      <w:tr w:rsidR="006769F8" w14:paraId="73DCFA16" w14:textId="77777777" w:rsidTr="006769F8">
        <w:tc>
          <w:tcPr>
            <w:tcW w:w="9630" w:type="dxa"/>
          </w:tcPr>
          <w:p w14:paraId="157A3A07" w14:textId="77777777" w:rsidR="00D450DF" w:rsidRPr="00641751" w:rsidRDefault="00D450DF" w:rsidP="00D450DF">
            <w:pPr>
              <w:outlineLvl w:val="3"/>
              <w:rPr>
                <w:b/>
                <w:color w:val="000000" w:themeColor="text1"/>
                <w:u w:val="single"/>
                <w:lang w:eastAsia="ko-KR"/>
              </w:rPr>
            </w:pPr>
            <w:r w:rsidRPr="00641751">
              <w:rPr>
                <w:b/>
                <w:color w:val="000000" w:themeColor="text1"/>
                <w:u w:val="single"/>
                <w:lang w:eastAsia="ko-KR"/>
              </w:rPr>
              <w:t>Issue 2-1: Any clarification on FR2 CSI-RS based RLM/BFD/BM requirements for Option A</w:t>
            </w:r>
          </w:p>
          <w:p w14:paraId="5AB48BB6" w14:textId="77777777" w:rsidR="00D450DF" w:rsidRPr="00641751" w:rsidRDefault="00D450DF" w:rsidP="00D450DF">
            <w:pPr>
              <w:pStyle w:val="a3"/>
              <w:numPr>
                <w:ilvl w:val="0"/>
                <w:numId w:val="27"/>
              </w:numPr>
              <w:ind w:left="720"/>
              <w:rPr>
                <w:color w:val="000000" w:themeColor="text1"/>
              </w:rPr>
            </w:pPr>
            <w:r w:rsidRPr="00641751">
              <w:rPr>
                <w:color w:val="000000" w:themeColor="text1"/>
              </w:rPr>
              <w:t>Do not introduce further enhancements for CSI-RS based RLM/BFD/BM requirements for Option A</w:t>
            </w:r>
          </w:p>
          <w:p w14:paraId="24127670" w14:textId="77777777" w:rsidR="00D450DF" w:rsidRPr="00641751" w:rsidRDefault="00D450DF" w:rsidP="00D450DF">
            <w:pPr>
              <w:outlineLvl w:val="3"/>
              <w:rPr>
                <w:b/>
                <w:color w:val="000000" w:themeColor="text1"/>
                <w:u w:val="single"/>
                <w:lang w:eastAsia="ko-KR"/>
              </w:rPr>
            </w:pPr>
            <w:r w:rsidRPr="00641751">
              <w:rPr>
                <w:b/>
                <w:color w:val="000000" w:themeColor="text1"/>
                <w:u w:val="single"/>
                <w:lang w:eastAsia="ko-KR"/>
              </w:rPr>
              <w:t>Issue 2-2: Any clarification on existing timing requirements when CD-SSB is outside active BWP</w:t>
            </w:r>
          </w:p>
          <w:p w14:paraId="73566ACB" w14:textId="77777777" w:rsidR="00D450DF" w:rsidRPr="009D2C5A" w:rsidRDefault="00D450DF" w:rsidP="00D450DF">
            <w:pPr>
              <w:pStyle w:val="a3"/>
              <w:numPr>
                <w:ilvl w:val="1"/>
                <w:numId w:val="46"/>
              </w:numPr>
              <w:overflowPunct w:val="0"/>
              <w:autoSpaceDE w:val="0"/>
              <w:autoSpaceDN w:val="0"/>
              <w:adjustRightInd w:val="0"/>
              <w:spacing w:line="252" w:lineRule="auto"/>
              <w:rPr>
                <w:lang w:eastAsia="ja-JP"/>
              </w:rPr>
            </w:pPr>
            <w:r w:rsidRPr="009D2C5A">
              <w:rPr>
                <w:lang w:eastAsia="ja-JP"/>
              </w:rPr>
              <w:t>Option 1: (Ericsson, Apple, Nokia, Huawei, CMCC, CATT, MediaTek)</w:t>
            </w:r>
          </w:p>
          <w:p w14:paraId="554BF238" w14:textId="77777777" w:rsidR="00D450DF" w:rsidRPr="009D2C5A" w:rsidRDefault="00D450DF" w:rsidP="00D450DF">
            <w:pPr>
              <w:pStyle w:val="a3"/>
              <w:numPr>
                <w:ilvl w:val="2"/>
                <w:numId w:val="46"/>
              </w:numPr>
              <w:overflowPunct w:val="0"/>
              <w:autoSpaceDE w:val="0"/>
              <w:autoSpaceDN w:val="0"/>
              <w:adjustRightInd w:val="0"/>
              <w:spacing w:line="252" w:lineRule="auto"/>
              <w:rPr>
                <w:lang w:eastAsia="ja-JP"/>
              </w:rPr>
            </w:pPr>
            <w:r w:rsidRPr="009D2C5A">
              <w:rPr>
                <w:lang w:eastAsia="ja-JP"/>
              </w:rPr>
              <w:t>No clarifications on existing timing requirements are needed.</w:t>
            </w:r>
          </w:p>
          <w:p w14:paraId="5D982D93" w14:textId="77777777" w:rsidR="00D450DF" w:rsidRPr="009D2C5A" w:rsidRDefault="00D450DF" w:rsidP="00D450DF">
            <w:pPr>
              <w:pStyle w:val="a3"/>
              <w:numPr>
                <w:ilvl w:val="1"/>
                <w:numId w:val="46"/>
              </w:numPr>
              <w:overflowPunct w:val="0"/>
              <w:autoSpaceDE w:val="0"/>
              <w:autoSpaceDN w:val="0"/>
              <w:adjustRightInd w:val="0"/>
              <w:spacing w:line="252" w:lineRule="auto"/>
              <w:rPr>
                <w:lang w:eastAsia="ja-JP"/>
              </w:rPr>
            </w:pPr>
            <w:r w:rsidRPr="009D2C5A">
              <w:rPr>
                <w:lang w:eastAsia="ja-JP"/>
              </w:rPr>
              <w:t>Option 2: (vivo)</w:t>
            </w:r>
          </w:p>
          <w:p w14:paraId="32195B70" w14:textId="77777777" w:rsidR="00D450DF" w:rsidRDefault="00D450DF" w:rsidP="00D450DF">
            <w:pPr>
              <w:pStyle w:val="a3"/>
              <w:numPr>
                <w:ilvl w:val="2"/>
                <w:numId w:val="46"/>
              </w:numPr>
              <w:overflowPunct w:val="0"/>
              <w:autoSpaceDE w:val="0"/>
              <w:autoSpaceDN w:val="0"/>
              <w:adjustRightInd w:val="0"/>
              <w:spacing w:line="252" w:lineRule="auto"/>
              <w:rPr>
                <w:lang w:eastAsia="ja-JP"/>
              </w:rPr>
            </w:pPr>
            <w:r w:rsidRPr="009D2C5A">
              <w:rPr>
                <w:lang w:eastAsia="ja-JP"/>
              </w:rPr>
              <w:t>It is clarified in the spec that existing timing requirements for non-</w:t>
            </w:r>
            <w:proofErr w:type="spellStart"/>
            <w:r w:rsidRPr="009D2C5A">
              <w:rPr>
                <w:lang w:eastAsia="ja-JP"/>
              </w:rPr>
              <w:t>RedCap</w:t>
            </w:r>
            <w:proofErr w:type="spellEnd"/>
            <w:r w:rsidRPr="009D2C5A">
              <w:rPr>
                <w:lang w:eastAsia="ja-JP"/>
              </w:rPr>
              <w:t xml:space="preserve"> UE are applicable regardless of whether SSB is within active BWP or not.</w:t>
            </w:r>
          </w:p>
          <w:p w14:paraId="11D594E8" w14:textId="77777777" w:rsidR="00D450DF" w:rsidRPr="009D2C5A" w:rsidRDefault="00D450DF" w:rsidP="00D450DF">
            <w:pPr>
              <w:pStyle w:val="a3"/>
              <w:numPr>
                <w:ilvl w:val="2"/>
                <w:numId w:val="46"/>
              </w:numPr>
              <w:overflowPunct w:val="0"/>
              <w:autoSpaceDE w:val="0"/>
              <w:autoSpaceDN w:val="0"/>
              <w:adjustRightInd w:val="0"/>
              <w:spacing w:line="252" w:lineRule="auto"/>
              <w:rPr>
                <w:lang w:eastAsia="ja-JP"/>
              </w:rPr>
            </w:pPr>
            <w:r>
              <w:rPr>
                <w:rFonts w:eastAsiaTheme="minorEastAsia" w:hint="eastAsia"/>
                <w:lang w:eastAsia="zh-CN"/>
              </w:rPr>
              <w:t>F</w:t>
            </w:r>
            <w:r>
              <w:rPr>
                <w:rFonts w:eastAsiaTheme="minorEastAsia"/>
                <w:lang w:eastAsia="zh-CN"/>
              </w:rPr>
              <w:t>FS from which release the clarification is made.</w:t>
            </w:r>
          </w:p>
          <w:p w14:paraId="49BE4B1E" w14:textId="77777777" w:rsidR="00D450DF" w:rsidRPr="009D2C5A" w:rsidRDefault="00D450DF" w:rsidP="00D450DF">
            <w:pPr>
              <w:pStyle w:val="a3"/>
              <w:numPr>
                <w:ilvl w:val="1"/>
                <w:numId w:val="46"/>
              </w:numPr>
              <w:overflowPunct w:val="0"/>
              <w:autoSpaceDE w:val="0"/>
              <w:autoSpaceDN w:val="0"/>
              <w:adjustRightInd w:val="0"/>
              <w:spacing w:line="252" w:lineRule="auto"/>
              <w:rPr>
                <w:lang w:eastAsia="ja-JP"/>
              </w:rPr>
            </w:pPr>
            <w:r w:rsidRPr="009D2C5A">
              <w:rPr>
                <w:lang w:eastAsia="ja-JP"/>
              </w:rPr>
              <w:t>Option 3: (Ericsson)</w:t>
            </w:r>
          </w:p>
          <w:p w14:paraId="245498A3" w14:textId="77777777" w:rsidR="00D450DF" w:rsidRPr="009D2C5A" w:rsidRDefault="00D450DF" w:rsidP="00D450DF">
            <w:pPr>
              <w:pStyle w:val="a3"/>
              <w:numPr>
                <w:ilvl w:val="2"/>
                <w:numId w:val="46"/>
              </w:numPr>
              <w:overflowPunct w:val="0"/>
              <w:autoSpaceDE w:val="0"/>
              <w:autoSpaceDN w:val="0"/>
              <w:adjustRightInd w:val="0"/>
              <w:spacing w:line="252" w:lineRule="auto"/>
              <w:rPr>
                <w:lang w:eastAsia="ja-JP"/>
              </w:rPr>
            </w:pPr>
            <w:r w:rsidRPr="009D2C5A">
              <w:rPr>
                <w:lang w:eastAsia="ja-JP"/>
              </w:rPr>
              <w:t>The condition to configure gaps to meet the existing UE transmission timing error requirements in clause 7.1 of TS 38.133, when the UE is performing BM/RLM/BFD based on option A, is NOT needed.</w:t>
            </w:r>
          </w:p>
          <w:p w14:paraId="6A98680F" w14:textId="09D31A45" w:rsidR="006769F8" w:rsidRPr="00D450DF" w:rsidRDefault="00D450DF" w:rsidP="00D450DF">
            <w:pPr>
              <w:pStyle w:val="a3"/>
              <w:numPr>
                <w:ilvl w:val="2"/>
                <w:numId w:val="46"/>
              </w:numPr>
              <w:overflowPunct w:val="0"/>
              <w:autoSpaceDE w:val="0"/>
              <w:autoSpaceDN w:val="0"/>
              <w:adjustRightInd w:val="0"/>
              <w:spacing w:line="252" w:lineRule="auto"/>
            </w:pPr>
            <w:r w:rsidRPr="009D2C5A">
              <w:rPr>
                <w:lang w:eastAsia="ja-JP"/>
              </w:rPr>
              <w:t>A possible compromise is to clarify in clause 7.1.2 of TS 38.133, that the availability of the SSB at the UE is for the purpose of acquiring the timing of the reference cell</w:t>
            </w:r>
          </w:p>
        </w:tc>
      </w:tr>
    </w:tbl>
    <w:bookmarkEnd w:id="4"/>
    <w:p w14:paraId="0FECFCE7" w14:textId="7BE70106" w:rsidR="00FD3FC3" w:rsidRPr="00922D2E" w:rsidRDefault="00FD3FC3" w:rsidP="00600A02">
      <w:pPr>
        <w:spacing w:before="240"/>
        <w:jc w:val="both"/>
      </w:pPr>
      <w:r>
        <w:t xml:space="preserve">In this contribution, we </w:t>
      </w:r>
      <w:r w:rsidR="005C09C3">
        <w:t xml:space="preserve">further </w:t>
      </w:r>
      <w:r w:rsidR="00454C0D">
        <w:t xml:space="preserve">provide our views on </w:t>
      </w:r>
      <w:r w:rsidR="003A4F0A">
        <w:t>RRM impact of</w:t>
      </w:r>
      <w:r w:rsidR="00E54FA5">
        <w:t xml:space="preserve"> option A</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435F2287" w14:textId="2EC6E527" w:rsidR="00A46C37" w:rsidRDefault="005C09C3" w:rsidP="00A46C37">
      <w:pPr>
        <w:spacing w:before="240"/>
        <w:jc w:val="both"/>
        <w:rPr>
          <w:rFonts w:eastAsia="Times New Roman"/>
          <w:color w:val="000000" w:themeColor="text1"/>
        </w:rPr>
      </w:pPr>
      <w:r>
        <w:rPr>
          <w:lang w:val="en-US"/>
        </w:rPr>
        <w:t>Regarding the RRM impact due to supporting option A</w:t>
      </w:r>
      <w:r w:rsidR="004154F8">
        <w:rPr>
          <w:lang w:val="en-US"/>
        </w:rPr>
        <w:t xml:space="preserve">, </w:t>
      </w:r>
      <w:r w:rsidR="009505EC">
        <w:rPr>
          <w:lang w:val="en-US"/>
        </w:rPr>
        <w:t>the only open issues is about</w:t>
      </w:r>
      <w:r w:rsidR="004154F8">
        <w:rPr>
          <w:lang w:val="en-US"/>
        </w:rPr>
        <w:t xml:space="preserve"> timing requirements.</w:t>
      </w:r>
      <w:r w:rsidR="00A46C37">
        <w:rPr>
          <w:rFonts w:eastAsia="Times New Roman"/>
          <w:color w:val="000000" w:themeColor="text1"/>
        </w:rPr>
        <w:t xml:space="preserve"> </w:t>
      </w:r>
    </w:p>
    <w:p w14:paraId="556F61FC" w14:textId="758D2CAA" w:rsidR="0006364D" w:rsidRPr="0046019F" w:rsidRDefault="0046019F" w:rsidP="0046019F">
      <w:pPr>
        <w:pStyle w:val="2"/>
        <w:numPr>
          <w:ilvl w:val="0"/>
          <w:numId w:val="0"/>
        </w:numPr>
        <w:rPr>
          <w:lang w:val="en-US"/>
        </w:rPr>
      </w:pPr>
      <w:r>
        <w:rPr>
          <w:lang w:val="en-US"/>
        </w:rPr>
        <w:t>2.</w:t>
      </w:r>
      <w:r w:rsidR="002072B0">
        <w:rPr>
          <w:lang w:val="en-US"/>
        </w:rPr>
        <w:t>1</w:t>
      </w:r>
      <w:r>
        <w:rPr>
          <w:lang w:val="en-US"/>
        </w:rPr>
        <w:t xml:space="preserve">. </w:t>
      </w:r>
      <w:r w:rsidR="0006364D" w:rsidRPr="0046019F">
        <w:rPr>
          <w:lang w:val="en-US"/>
        </w:rPr>
        <w:t>Timing requirements for option A</w:t>
      </w:r>
    </w:p>
    <w:p w14:paraId="4994F19D" w14:textId="2CD59D7E" w:rsidR="00F655D0" w:rsidRDefault="00F655D0" w:rsidP="00A46C37">
      <w:pPr>
        <w:spacing w:before="240"/>
        <w:jc w:val="both"/>
        <w:rPr>
          <w:color w:val="000000" w:themeColor="text1"/>
          <w:szCs w:val="24"/>
        </w:rPr>
      </w:pPr>
      <w:r>
        <w:rPr>
          <w:color w:val="000000" w:themeColor="text1"/>
          <w:szCs w:val="24"/>
        </w:rPr>
        <w:t>In existing requirements, without considering FR2-2</w:t>
      </w:r>
      <w:r w:rsidR="00D334A3">
        <w:rPr>
          <w:color w:val="000000" w:themeColor="text1"/>
          <w:szCs w:val="24"/>
        </w:rPr>
        <w:t>, the applicability of timing requirements for non-</w:t>
      </w:r>
      <w:proofErr w:type="spellStart"/>
      <w:r w:rsidR="00D334A3">
        <w:rPr>
          <w:color w:val="000000" w:themeColor="text1"/>
          <w:szCs w:val="24"/>
        </w:rPr>
        <w:t>RedCap</w:t>
      </w:r>
      <w:proofErr w:type="spellEnd"/>
      <w:r w:rsidR="00D334A3">
        <w:rPr>
          <w:color w:val="000000" w:themeColor="text1"/>
          <w:szCs w:val="24"/>
        </w:rPr>
        <w:t xml:space="preserve"> UE is based on availability of SSB during 160ms.</w:t>
      </w:r>
    </w:p>
    <w:tbl>
      <w:tblPr>
        <w:tblStyle w:val="afff5"/>
        <w:tblW w:w="0" w:type="auto"/>
        <w:tblInd w:w="0" w:type="dxa"/>
        <w:tblLook w:val="04A0" w:firstRow="1" w:lastRow="0" w:firstColumn="1" w:lastColumn="0" w:noHBand="0" w:noVBand="1"/>
      </w:tblPr>
      <w:tblGrid>
        <w:gridCol w:w="9630"/>
      </w:tblGrid>
      <w:tr w:rsidR="00F655D0" w14:paraId="46D419F7" w14:textId="77777777" w:rsidTr="00F655D0">
        <w:tc>
          <w:tcPr>
            <w:tcW w:w="9630" w:type="dxa"/>
          </w:tcPr>
          <w:p w14:paraId="5C65C219" w14:textId="5FF193CF" w:rsidR="00F655D0" w:rsidRPr="00C742A1" w:rsidRDefault="00F655D0" w:rsidP="00A46C37">
            <w:pPr>
              <w:spacing w:before="240"/>
              <w:rPr>
                <w:rFonts w:eastAsiaTheme="minorEastAsia"/>
                <w:i/>
                <w:iCs/>
                <w:color w:val="000000" w:themeColor="text1"/>
              </w:rPr>
            </w:pPr>
            <w:r w:rsidRPr="00C742A1">
              <w:rPr>
                <w:rFonts w:cs="v4.2.0"/>
                <w:i/>
                <w:iCs/>
              </w:rPr>
              <w:t xml:space="preserve">When the UL SCS is 120 kHz or smaller, 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is available at the UE during the last 160 </w:t>
            </w:r>
            <w:proofErr w:type="spellStart"/>
            <w:r w:rsidRPr="00C742A1">
              <w:rPr>
                <w:rFonts w:cs="v4.2.0"/>
                <w:i/>
                <w:iCs/>
              </w:rPr>
              <w:t>ms</w:t>
            </w:r>
            <w:proofErr w:type="spellEnd"/>
            <w:r w:rsidRPr="00C742A1">
              <w:rPr>
                <w:rFonts w:cs="v4.2.0"/>
                <w:i/>
                <w:iCs/>
              </w:rPr>
              <w:t xml:space="preserve">. </w:t>
            </w:r>
            <w:r w:rsidR="00D334A3" w:rsidRPr="00C742A1">
              <w:rPr>
                <w:rFonts w:cs="v4.2.0"/>
                <w:i/>
                <w:iCs/>
              </w:rPr>
              <w:t>……</w:t>
            </w:r>
          </w:p>
        </w:tc>
      </w:tr>
    </w:tbl>
    <w:p w14:paraId="0F029127" w14:textId="6C89877C" w:rsidR="00D334A3" w:rsidRDefault="002D0B07" w:rsidP="00D334A3">
      <w:pPr>
        <w:spacing w:before="240"/>
        <w:jc w:val="both"/>
      </w:pPr>
      <w:r>
        <w:rPr>
          <w:lang w:val="en-US"/>
        </w:rPr>
        <w:lastRenderedPageBreak/>
        <w:t>However, f</w:t>
      </w:r>
      <w:r w:rsidR="00D334A3">
        <w:rPr>
          <w:lang w:val="en-US"/>
        </w:rPr>
        <w:t xml:space="preserve">or </w:t>
      </w:r>
      <w:proofErr w:type="spellStart"/>
      <w:r w:rsidR="00D334A3">
        <w:rPr>
          <w:lang w:val="en-US"/>
        </w:rPr>
        <w:t>RedCap</w:t>
      </w:r>
      <w:proofErr w:type="spellEnd"/>
      <w:r w:rsidR="00D334A3">
        <w:rPr>
          <w:lang w:val="en-US"/>
        </w:rPr>
        <w:t xml:space="preserve"> UE, </w:t>
      </w:r>
      <w:r w:rsidR="00D334A3">
        <w:t xml:space="preserve">it was agreed that when SSB (including both CD-SSB and NCD-SSB) is not within the active BWP measurement gap should be configured. </w:t>
      </w:r>
    </w:p>
    <w:tbl>
      <w:tblPr>
        <w:tblStyle w:val="afff5"/>
        <w:tblW w:w="0" w:type="auto"/>
        <w:tblInd w:w="0" w:type="dxa"/>
        <w:tblLook w:val="04A0" w:firstRow="1" w:lastRow="0" w:firstColumn="1" w:lastColumn="0" w:noHBand="0" w:noVBand="1"/>
      </w:tblPr>
      <w:tblGrid>
        <w:gridCol w:w="9630"/>
      </w:tblGrid>
      <w:tr w:rsidR="00D334A3" w14:paraId="0FF7BECA" w14:textId="77777777" w:rsidTr="00041095">
        <w:tc>
          <w:tcPr>
            <w:tcW w:w="9630" w:type="dxa"/>
          </w:tcPr>
          <w:p w14:paraId="70872CCD" w14:textId="77777777" w:rsidR="00D334A3" w:rsidRPr="00C742A1" w:rsidRDefault="00D334A3" w:rsidP="00041095">
            <w:pPr>
              <w:rPr>
                <w:rFonts w:cs="v4.2.0"/>
                <w:i/>
                <w:iCs/>
                <w:strike/>
              </w:rPr>
            </w:pPr>
            <w:r w:rsidRPr="00C742A1">
              <w:rPr>
                <w:rFonts w:cs="v4.2.0"/>
                <w:i/>
                <w:iCs/>
              </w:rPr>
              <w:t xml:space="preserve">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w:t>
            </w:r>
            <w:r w:rsidRPr="00C742A1">
              <w:rPr>
                <w:rFonts w:cs="v4.2.0"/>
                <w:i/>
                <w:iCs/>
                <w:lang w:eastAsia="zh-CN"/>
              </w:rPr>
              <w:t>(CD-SSB or NCD-SSB)</w:t>
            </w:r>
            <w:r w:rsidRPr="00C742A1">
              <w:rPr>
                <w:rFonts w:cs="v4.2.0"/>
                <w:i/>
                <w:iCs/>
              </w:rPr>
              <w:t xml:space="preserve"> is available at the UE for acquiring the frame timing of the reference cell during the last 160 </w:t>
            </w:r>
            <w:proofErr w:type="spellStart"/>
            <w:r w:rsidRPr="00C742A1">
              <w:rPr>
                <w:rFonts w:cs="v4.2.0"/>
                <w:i/>
                <w:iCs/>
              </w:rPr>
              <w:t>ms</w:t>
            </w:r>
            <w:proofErr w:type="spellEnd"/>
            <w:r w:rsidRPr="00C742A1">
              <w:rPr>
                <w:rFonts w:cs="v4.2.0"/>
                <w:i/>
                <w:iCs/>
              </w:rPr>
              <w:t xml:space="preserve"> on the condition that:</w:t>
            </w:r>
          </w:p>
          <w:p w14:paraId="0CCEB80D" w14:textId="77777777" w:rsidR="00D334A3" w:rsidRPr="00C742A1" w:rsidRDefault="00D334A3" w:rsidP="00041095">
            <w:pPr>
              <w:pStyle w:val="B10"/>
              <w:rPr>
                <w:i/>
                <w:iCs/>
                <w:lang w:val="en-US"/>
              </w:rPr>
            </w:pPr>
            <w:r w:rsidRPr="00C742A1">
              <w:rPr>
                <w:i/>
                <w:iCs/>
                <w:lang w:val="en-US"/>
              </w:rPr>
              <w:t>-</w:t>
            </w:r>
            <w:r w:rsidRPr="00C742A1">
              <w:rPr>
                <w:i/>
                <w:iCs/>
                <w:lang w:val="en-US"/>
              </w:rPr>
              <w:tab/>
              <w:t xml:space="preserve">the SSB is within the UE’s active BWP, or </w:t>
            </w:r>
          </w:p>
          <w:p w14:paraId="71777CB2" w14:textId="77777777" w:rsidR="00D334A3" w:rsidRPr="00FD50AD" w:rsidRDefault="00D334A3" w:rsidP="00041095">
            <w:pPr>
              <w:pStyle w:val="B10"/>
              <w:rPr>
                <w:lang w:val="en-US"/>
              </w:rPr>
            </w:pPr>
            <w:r w:rsidRPr="00C742A1">
              <w:rPr>
                <w:i/>
                <w:iCs/>
                <w:lang w:val="en-US"/>
              </w:rPr>
              <w:t>-</w:t>
            </w:r>
            <w:r w:rsidRPr="00C742A1">
              <w:rPr>
                <w:i/>
                <w:iCs/>
                <w:lang w:val="en-US"/>
              </w:rPr>
              <w:tab/>
            </w:r>
            <w:r w:rsidRPr="00C742A1">
              <w:rPr>
                <w:i/>
                <w:iCs/>
                <w:highlight w:val="yellow"/>
                <w:lang w:val="en-US"/>
              </w:rPr>
              <w:t>the SSB is not within the UE’s active BWP, and the measurement gap is configured.</w:t>
            </w:r>
          </w:p>
        </w:tc>
      </w:tr>
    </w:tbl>
    <w:p w14:paraId="0C5333C6" w14:textId="2262D393" w:rsidR="009505EC" w:rsidRDefault="00D334A3" w:rsidP="00A46C37">
      <w:pPr>
        <w:spacing w:before="240"/>
        <w:jc w:val="both"/>
        <w:rPr>
          <w:rFonts w:eastAsiaTheme="minorEastAsia"/>
          <w:color w:val="000000" w:themeColor="text1"/>
        </w:rPr>
      </w:pPr>
      <w:r>
        <w:rPr>
          <w:rFonts w:eastAsiaTheme="minorEastAsia"/>
          <w:color w:val="000000" w:themeColor="text1"/>
        </w:rPr>
        <w:t xml:space="preserve">At least, there is spec inconsistency of timing requirements for </w:t>
      </w:r>
      <w:proofErr w:type="spellStart"/>
      <w:r>
        <w:rPr>
          <w:rFonts w:eastAsiaTheme="minorEastAsia"/>
          <w:color w:val="000000" w:themeColor="text1"/>
        </w:rPr>
        <w:t>RedCap</w:t>
      </w:r>
      <w:proofErr w:type="spellEnd"/>
      <w:r>
        <w:rPr>
          <w:rFonts w:eastAsiaTheme="minorEastAsia"/>
          <w:color w:val="000000" w:themeColor="text1"/>
        </w:rPr>
        <w:t xml:space="preserve"> UE and non-Redcap UE. It is therefore ambiguous whether </w:t>
      </w:r>
      <w:r w:rsidR="009505EC">
        <w:rPr>
          <w:rFonts w:eastAsiaTheme="minorEastAsia"/>
          <w:color w:val="000000" w:themeColor="text1"/>
        </w:rPr>
        <w:t xml:space="preserve">or not </w:t>
      </w:r>
      <w:r>
        <w:rPr>
          <w:rFonts w:eastAsiaTheme="minorEastAsia"/>
          <w:color w:val="000000" w:themeColor="text1"/>
        </w:rPr>
        <w:t>timing requirements for non-</w:t>
      </w:r>
      <w:proofErr w:type="spellStart"/>
      <w:r>
        <w:rPr>
          <w:rFonts w:eastAsiaTheme="minorEastAsia"/>
          <w:color w:val="000000" w:themeColor="text1"/>
        </w:rPr>
        <w:t>RedCap</w:t>
      </w:r>
      <w:proofErr w:type="spellEnd"/>
      <w:r>
        <w:rPr>
          <w:rFonts w:eastAsiaTheme="minorEastAsia"/>
          <w:color w:val="000000" w:themeColor="text1"/>
        </w:rPr>
        <w:t xml:space="preserve"> UE </w:t>
      </w:r>
      <w:r w:rsidR="00C742A1">
        <w:rPr>
          <w:rFonts w:eastAsiaTheme="minorEastAsia"/>
          <w:color w:val="000000" w:themeColor="text1"/>
        </w:rPr>
        <w:t>are also applicable when SSB is outside active BWP</w:t>
      </w:r>
      <w:r w:rsidR="009505EC">
        <w:rPr>
          <w:rFonts w:eastAsiaTheme="minorEastAsia"/>
          <w:color w:val="000000" w:themeColor="text1"/>
        </w:rPr>
        <w:t xml:space="preserve"> when we read the TS38.133 specification</w:t>
      </w:r>
      <w:r w:rsidR="00C742A1">
        <w:rPr>
          <w:rFonts w:eastAsiaTheme="minorEastAsia"/>
          <w:color w:val="000000" w:themeColor="text1"/>
        </w:rPr>
        <w:t>.</w:t>
      </w:r>
      <w:r w:rsidR="009505EC">
        <w:rPr>
          <w:rFonts w:eastAsiaTheme="minorEastAsia"/>
          <w:color w:val="000000" w:themeColor="text1"/>
        </w:rPr>
        <w:t xml:space="preserve"> There will be different interpretations</w:t>
      </w:r>
      <w:r w:rsidR="003A222C">
        <w:rPr>
          <w:rFonts w:eastAsiaTheme="minorEastAsia"/>
          <w:color w:val="000000" w:themeColor="text1"/>
        </w:rPr>
        <w:t xml:space="preserve"> as it was happened in RAN4 discussions.</w:t>
      </w:r>
    </w:p>
    <w:p w14:paraId="6FF3F33D" w14:textId="7432BD81" w:rsidR="00D334A3" w:rsidRDefault="00C742A1" w:rsidP="00A46C37">
      <w:pPr>
        <w:spacing w:before="240"/>
        <w:jc w:val="both"/>
        <w:rPr>
          <w:rFonts w:eastAsiaTheme="minorEastAsia"/>
          <w:color w:val="000000" w:themeColor="text1"/>
        </w:rPr>
      </w:pPr>
      <w:r>
        <w:rPr>
          <w:rFonts w:eastAsiaTheme="minorEastAsia"/>
          <w:color w:val="000000" w:themeColor="text1"/>
        </w:rPr>
        <w:t xml:space="preserve">Since it was agreed in the </w:t>
      </w:r>
      <w:r w:rsidR="002D0B07">
        <w:rPr>
          <w:rFonts w:eastAsiaTheme="minorEastAsia"/>
          <w:color w:val="000000" w:themeColor="text1"/>
        </w:rPr>
        <w:t>previous</w:t>
      </w:r>
      <w:r>
        <w:rPr>
          <w:rFonts w:eastAsiaTheme="minorEastAsia"/>
          <w:color w:val="000000" w:themeColor="text1"/>
        </w:rPr>
        <w:t xml:space="preserve"> meeting that t</w:t>
      </w:r>
      <w:r w:rsidRPr="00C742A1">
        <w:rPr>
          <w:rFonts w:eastAsiaTheme="minorEastAsia"/>
          <w:color w:val="000000" w:themeColor="text1"/>
        </w:rPr>
        <w:t>he existing UE transmission timing error requirements based on the SSB defined in clause 7.1 of TS 38.133 shall apply for the UE performing the BM/RLM/BFD based on CSI-RS within the active BWP (Option A), i.e., no additional timing requirements are needed</w:t>
      </w:r>
      <w:r>
        <w:rPr>
          <w:rFonts w:eastAsiaTheme="minorEastAsia"/>
          <w:color w:val="000000" w:themeColor="text1"/>
        </w:rPr>
        <w:t>, it means existing timing requirements should be applicable when SSB is outside active BWP. Thus, it is better to clarify this in the specification.</w:t>
      </w:r>
    </w:p>
    <w:p w14:paraId="59C17E18" w14:textId="65678FE9" w:rsidR="00C742A1" w:rsidRDefault="00C742A1" w:rsidP="00C742A1">
      <w:pPr>
        <w:jc w:val="both"/>
        <w:rPr>
          <w:b/>
          <w:bCs/>
          <w:i/>
          <w:iCs/>
        </w:rPr>
      </w:pPr>
      <w:r>
        <w:rPr>
          <w:b/>
          <w:bCs/>
          <w:i/>
          <w:iCs/>
        </w:rPr>
        <w:t xml:space="preserve">Proposal </w:t>
      </w:r>
      <w:r w:rsidR="00FD59DB">
        <w:rPr>
          <w:b/>
          <w:bCs/>
          <w:i/>
          <w:iCs/>
        </w:rPr>
        <w:t>1</w:t>
      </w:r>
      <w:r w:rsidRPr="00515EAB">
        <w:rPr>
          <w:b/>
          <w:bCs/>
          <w:i/>
          <w:iCs/>
        </w:rPr>
        <w:t xml:space="preserve">: </w:t>
      </w:r>
      <w:r>
        <w:rPr>
          <w:b/>
          <w:bCs/>
          <w:i/>
          <w:iCs/>
        </w:rPr>
        <w:t xml:space="preserve">It is clarified </w:t>
      </w:r>
      <w:r w:rsidR="00F16377">
        <w:rPr>
          <w:b/>
          <w:bCs/>
          <w:i/>
          <w:iCs/>
        </w:rPr>
        <w:t xml:space="preserve">in the spec </w:t>
      </w:r>
      <w:r>
        <w:rPr>
          <w:b/>
          <w:bCs/>
          <w:i/>
          <w:iCs/>
        </w:rPr>
        <w:t>that existing timing requirements for non-</w:t>
      </w:r>
      <w:proofErr w:type="spellStart"/>
      <w:r>
        <w:rPr>
          <w:b/>
          <w:bCs/>
          <w:i/>
          <w:iCs/>
        </w:rPr>
        <w:t>RedCap</w:t>
      </w:r>
      <w:proofErr w:type="spellEnd"/>
      <w:r>
        <w:rPr>
          <w:b/>
          <w:bCs/>
          <w:i/>
          <w:iCs/>
        </w:rPr>
        <w:t xml:space="preserve"> UE are applicable regardless of </w:t>
      </w:r>
      <w:r w:rsidR="00F16377">
        <w:rPr>
          <w:b/>
          <w:bCs/>
          <w:i/>
          <w:iCs/>
        </w:rPr>
        <w:t xml:space="preserve">whether </w:t>
      </w:r>
      <w:r>
        <w:rPr>
          <w:b/>
          <w:bCs/>
          <w:i/>
          <w:iCs/>
        </w:rPr>
        <w:t>SSB is within active BWP or not.</w:t>
      </w:r>
    </w:p>
    <w:p w14:paraId="6281E920" w14:textId="77777777" w:rsidR="00C742A1" w:rsidRDefault="00C742A1" w:rsidP="00C742A1">
      <w:pPr>
        <w:jc w:val="both"/>
        <w:rPr>
          <w:b/>
          <w:bCs/>
          <w:i/>
          <w:iCs/>
        </w:rPr>
      </w:pPr>
    </w:p>
    <w:p w14:paraId="1953659D" w14:textId="77777777" w:rsidR="00A37FC8" w:rsidRDefault="00FD59DB" w:rsidP="00FD59DB">
      <w:pPr>
        <w:jc w:val="both"/>
      </w:pPr>
      <w:r>
        <w:t>There was concern that if the clarification is made in Re</w:t>
      </w:r>
      <w:r w:rsidR="00705164">
        <w:t>l-18, it would mean that for legacy Rel-15</w:t>
      </w:r>
      <w:r w:rsidR="00705164">
        <w:rPr>
          <w:rFonts w:hint="eastAsia"/>
        </w:rPr>
        <w:t>/</w:t>
      </w:r>
      <w:r w:rsidR="00705164">
        <w:t>16/17 UEs the timing requirements are only applicable when SSB is withing active BWP</w:t>
      </w:r>
      <w:r>
        <w:t>.</w:t>
      </w:r>
      <w:r w:rsidR="00705164">
        <w:t xml:space="preserve"> </w:t>
      </w:r>
      <w:r w:rsidR="00A37FC8">
        <w:t>Of course, it is not the intension.</w:t>
      </w:r>
    </w:p>
    <w:p w14:paraId="236437B1" w14:textId="628EF346" w:rsidR="00FD59DB" w:rsidRDefault="00A37FC8" w:rsidP="00FD59DB">
      <w:pPr>
        <w:jc w:val="both"/>
      </w:pPr>
      <w:r>
        <w:t>Practically, there could be no legacy U</w:t>
      </w:r>
      <w:r>
        <w:rPr>
          <w:rFonts w:hint="eastAsia"/>
        </w:rPr>
        <w:t>E</w:t>
      </w:r>
      <w:r>
        <w:t>s supporting BWP operation without SSB as</w:t>
      </w:r>
      <w:r w:rsidR="00FD59DB">
        <w:t xml:space="preserve"> </w:t>
      </w:r>
      <w:r>
        <w:t>FG 6-1a is not supported by specification very well. All of options for supporting BWP operation without CD-SSB within active BWP, i.e., option A, B-1-1, B-1-2 and C will be supported from Rel-18.</w:t>
      </w:r>
      <w:r w:rsidRPr="00A37FC8">
        <w:t xml:space="preserve"> </w:t>
      </w:r>
      <w:r>
        <w:t>So, there should be no actual issue in practical NW.</w:t>
      </w:r>
    </w:p>
    <w:p w14:paraId="272754CD" w14:textId="5489EA96" w:rsidR="00A37FC8" w:rsidRDefault="00A37FC8" w:rsidP="00A37FC8">
      <w:pPr>
        <w:jc w:val="both"/>
        <w:rPr>
          <w:b/>
          <w:bCs/>
          <w:i/>
          <w:iCs/>
        </w:rPr>
      </w:pPr>
      <w:r>
        <w:rPr>
          <w:b/>
          <w:bCs/>
          <w:i/>
          <w:iCs/>
        </w:rPr>
        <w:t>Observation 1</w:t>
      </w:r>
      <w:r w:rsidRPr="00515EAB">
        <w:rPr>
          <w:b/>
          <w:bCs/>
          <w:i/>
          <w:iCs/>
        </w:rPr>
        <w:t xml:space="preserve">: </w:t>
      </w:r>
      <w:r>
        <w:rPr>
          <w:b/>
          <w:bCs/>
          <w:i/>
          <w:iCs/>
        </w:rPr>
        <w:t>There would be no issue in practical NW if the clarification is made from Rel-18.</w:t>
      </w:r>
    </w:p>
    <w:p w14:paraId="750B710C" w14:textId="13A93C08" w:rsidR="009505EC" w:rsidRPr="00A37FC8" w:rsidRDefault="009505EC" w:rsidP="00C742A1">
      <w:pPr>
        <w:jc w:val="both"/>
        <w:rPr>
          <w:b/>
          <w:bCs/>
          <w:i/>
          <w:iCs/>
        </w:rPr>
      </w:pPr>
    </w:p>
    <w:p w14:paraId="45030B5F" w14:textId="0D23C303" w:rsidR="009505EC" w:rsidRDefault="00A37FC8" w:rsidP="00C742A1">
      <w:pPr>
        <w:jc w:val="both"/>
      </w:pPr>
      <w:r>
        <w:t xml:space="preserve">If there is still concern to make the clarification, alternative approach is to make the clarification change from Rel-15 as editorial change. </w:t>
      </w:r>
      <w:r w:rsidR="001E3E88">
        <w:t>However, the</w:t>
      </w:r>
      <w:r>
        <w:t xml:space="preserve"> test to verify the timing requirements, if to be defined, is introduced from Rel-18 only</w:t>
      </w:r>
      <w:r w:rsidR="001E3E88">
        <w:t>.</w:t>
      </w:r>
    </w:p>
    <w:p w14:paraId="1B816F9F" w14:textId="59E34889" w:rsidR="00743ECE" w:rsidRDefault="00743ECE" w:rsidP="00743ECE">
      <w:pPr>
        <w:jc w:val="both"/>
        <w:rPr>
          <w:b/>
          <w:bCs/>
          <w:i/>
          <w:iCs/>
        </w:rPr>
      </w:pPr>
      <w:r>
        <w:rPr>
          <w:b/>
          <w:bCs/>
          <w:i/>
          <w:iCs/>
        </w:rPr>
        <w:t>Proposal 2</w:t>
      </w:r>
      <w:r w:rsidRPr="00515EAB">
        <w:rPr>
          <w:b/>
          <w:bCs/>
          <w:i/>
          <w:iCs/>
        </w:rPr>
        <w:t xml:space="preserve">: </w:t>
      </w:r>
      <w:r>
        <w:rPr>
          <w:b/>
          <w:bCs/>
          <w:i/>
          <w:iCs/>
        </w:rPr>
        <w:t>If the clarification change in Rel-18 is not agreeable, the alternative approach is to make the change from Rel-15 with editorial CR under the condition that the test to verify timing requirements when CD-SSB is outside of active BWP are defined in Rel-18 only, if it is introduced.</w:t>
      </w:r>
    </w:p>
    <w:p w14:paraId="4DFB3594" w14:textId="77777777" w:rsidR="00A37FC8" w:rsidRPr="00743ECE" w:rsidRDefault="00A37FC8" w:rsidP="00C742A1">
      <w:pPr>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7390FE44"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EA13B2">
        <w:t>n RRM impact of option A for BWP operation without restriction.</w:t>
      </w:r>
      <w:r w:rsidR="000A45CF">
        <w:t xml:space="preserve"> Based </w:t>
      </w:r>
      <w:r w:rsidR="003A33E2">
        <w:t xml:space="preserve">on </w:t>
      </w:r>
      <w:r w:rsidR="000A45CF">
        <w:t>above analysis, following proposals are present.</w:t>
      </w:r>
    </w:p>
    <w:p w14:paraId="4E63C400" w14:textId="77777777" w:rsidR="008810AD" w:rsidRDefault="008810AD" w:rsidP="008810AD">
      <w:pPr>
        <w:jc w:val="both"/>
        <w:rPr>
          <w:b/>
          <w:bCs/>
          <w:i/>
          <w:iCs/>
        </w:rPr>
      </w:pPr>
      <w:r>
        <w:rPr>
          <w:b/>
          <w:bCs/>
          <w:i/>
          <w:iCs/>
        </w:rPr>
        <w:t>Proposal 1</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2E6DC901" w14:textId="77777777" w:rsidR="008810AD" w:rsidRDefault="008810AD" w:rsidP="008810AD">
      <w:pPr>
        <w:jc w:val="both"/>
        <w:rPr>
          <w:b/>
          <w:bCs/>
          <w:i/>
          <w:iCs/>
        </w:rPr>
      </w:pPr>
      <w:r>
        <w:rPr>
          <w:b/>
          <w:bCs/>
          <w:i/>
          <w:iCs/>
        </w:rPr>
        <w:t>Observation 1</w:t>
      </w:r>
      <w:r w:rsidRPr="00515EAB">
        <w:rPr>
          <w:b/>
          <w:bCs/>
          <w:i/>
          <w:iCs/>
        </w:rPr>
        <w:t xml:space="preserve">: </w:t>
      </w:r>
      <w:r>
        <w:rPr>
          <w:b/>
          <w:bCs/>
          <w:i/>
          <w:iCs/>
        </w:rPr>
        <w:t>There would be no issue in practical NW if the clarification is made from Rel-18.</w:t>
      </w:r>
    </w:p>
    <w:p w14:paraId="7485D265" w14:textId="77777777" w:rsidR="008810AD" w:rsidRDefault="008810AD" w:rsidP="008810AD">
      <w:pPr>
        <w:jc w:val="both"/>
        <w:rPr>
          <w:b/>
          <w:bCs/>
          <w:i/>
          <w:iCs/>
        </w:rPr>
      </w:pPr>
      <w:r>
        <w:rPr>
          <w:b/>
          <w:bCs/>
          <w:i/>
          <w:iCs/>
        </w:rPr>
        <w:t>Proposal 2</w:t>
      </w:r>
      <w:r w:rsidRPr="00515EAB">
        <w:rPr>
          <w:b/>
          <w:bCs/>
          <w:i/>
          <w:iCs/>
        </w:rPr>
        <w:t xml:space="preserve">: </w:t>
      </w:r>
      <w:r>
        <w:rPr>
          <w:b/>
          <w:bCs/>
          <w:i/>
          <w:iCs/>
        </w:rPr>
        <w:t>If the clarification change in Rel-18 is not agreeable, the alternative approach is to make the change from Rel-15 with editorial CR under the condition that the test to verify timing requirements when CD-SSB is outside of active BWP are defined in Rel-18 only, if it is introduced.</w:t>
      </w:r>
    </w:p>
    <w:p w14:paraId="744740A3" w14:textId="77777777" w:rsidR="00D37ED7" w:rsidRPr="006965DE" w:rsidRDefault="00D37ED7"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6" w:name="_Hlk4777878"/>
    </w:p>
    <w:p w14:paraId="327A1D51" w14:textId="77777777" w:rsidR="006769F8" w:rsidRDefault="006769F8" w:rsidP="006769F8">
      <w:pPr>
        <w:pStyle w:val="Reference"/>
        <w:numPr>
          <w:ilvl w:val="0"/>
          <w:numId w:val="24"/>
        </w:numPr>
        <w:suppressAutoHyphens w:val="0"/>
        <w:spacing w:before="120" w:line="280" w:lineRule="atLeast"/>
        <w:jc w:val="both"/>
        <w:rPr>
          <w:bCs/>
          <w:kern w:val="2"/>
          <w:szCs w:val="18"/>
        </w:rPr>
      </w:pPr>
      <w:bookmarkStart w:id="7" w:name="_Hlk142416905"/>
      <w:bookmarkEnd w:id="6"/>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3F0B9150" w14:textId="2BC6A5E9" w:rsidR="00D0675E" w:rsidRPr="00D0675E" w:rsidRDefault="00D0675E" w:rsidP="002704F6">
      <w:pPr>
        <w:pStyle w:val="Reference"/>
        <w:numPr>
          <w:ilvl w:val="0"/>
          <w:numId w:val="24"/>
        </w:numPr>
        <w:suppressAutoHyphens w:val="0"/>
        <w:spacing w:before="120" w:line="280" w:lineRule="atLeast"/>
        <w:jc w:val="both"/>
        <w:rPr>
          <w:bCs/>
          <w:kern w:val="2"/>
          <w:szCs w:val="18"/>
        </w:rPr>
      </w:pPr>
      <w:r w:rsidRPr="00D0675E">
        <w:rPr>
          <w:bCs/>
          <w:kern w:val="2"/>
          <w:szCs w:val="18"/>
        </w:rPr>
        <w:t>R4-2310176</w:t>
      </w:r>
      <w:r w:rsidRPr="00D0675E">
        <w:rPr>
          <w:bCs/>
          <w:kern w:val="2"/>
          <w:szCs w:val="18"/>
        </w:rPr>
        <w:tab/>
        <w:t>WF on NR BWP operation without restriction,</w:t>
      </w:r>
      <w:r>
        <w:rPr>
          <w:bCs/>
          <w:kern w:val="2"/>
          <w:szCs w:val="18"/>
        </w:rPr>
        <w:t xml:space="preserve"> </w:t>
      </w:r>
      <w:r w:rsidRPr="00D0675E">
        <w:rPr>
          <w:bCs/>
          <w:kern w:val="2"/>
          <w:szCs w:val="18"/>
        </w:rPr>
        <w:t>vivo</w:t>
      </w:r>
    </w:p>
    <w:p w14:paraId="430B518F" w14:textId="1F6D6896" w:rsidR="00A41F88" w:rsidRPr="00A41F88" w:rsidRDefault="00A41F88" w:rsidP="00A41F88">
      <w:pPr>
        <w:pStyle w:val="Reference"/>
        <w:numPr>
          <w:ilvl w:val="0"/>
          <w:numId w:val="24"/>
        </w:numPr>
        <w:suppressAutoHyphens w:val="0"/>
        <w:spacing w:before="120" w:line="280" w:lineRule="atLeast"/>
        <w:jc w:val="both"/>
        <w:rPr>
          <w:bCs/>
          <w:kern w:val="2"/>
          <w:szCs w:val="18"/>
        </w:rPr>
      </w:pPr>
      <w:r w:rsidRPr="00A41F88">
        <w:rPr>
          <w:bCs/>
          <w:kern w:val="2"/>
          <w:szCs w:val="18"/>
        </w:rPr>
        <w:t>RP-231486</w:t>
      </w:r>
      <w:r w:rsidRPr="00A41F88">
        <w:rPr>
          <w:bCs/>
          <w:kern w:val="2"/>
          <w:szCs w:val="18"/>
        </w:rPr>
        <w:tab/>
        <w:t xml:space="preserve">Revised WID: Complete the specification support for </w:t>
      </w:r>
      <w:proofErr w:type="spellStart"/>
      <w:r w:rsidRPr="00A41F88">
        <w:rPr>
          <w:bCs/>
          <w:kern w:val="2"/>
          <w:szCs w:val="18"/>
        </w:rPr>
        <w:t>BandWidth</w:t>
      </w:r>
      <w:proofErr w:type="spellEnd"/>
      <w:r w:rsidRPr="00A41F88">
        <w:rPr>
          <w:bCs/>
          <w:kern w:val="2"/>
          <w:szCs w:val="18"/>
        </w:rPr>
        <w:t xml:space="preserve"> Part operation without restriction in NR</w:t>
      </w:r>
      <w:r w:rsidRPr="00A41F88">
        <w:rPr>
          <w:bCs/>
          <w:kern w:val="2"/>
          <w:szCs w:val="18"/>
        </w:rPr>
        <w:tab/>
        <w:t>Intel, Vodafone, vivo</w:t>
      </w:r>
      <w:bookmarkEnd w:id="7"/>
    </w:p>
    <w:sectPr w:rsidR="00A41F88" w:rsidRPr="00A41F88"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9F370" w14:textId="77777777" w:rsidR="00475927" w:rsidRDefault="00475927">
      <w:pPr>
        <w:spacing w:after="0"/>
      </w:pPr>
      <w:r>
        <w:separator/>
      </w:r>
    </w:p>
  </w:endnote>
  <w:endnote w:type="continuationSeparator" w:id="0">
    <w:p w14:paraId="53B0C7A1" w14:textId="77777777" w:rsidR="00475927" w:rsidRDefault="004759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B21D" w14:textId="77777777" w:rsidR="00475927" w:rsidRDefault="00475927">
      <w:pPr>
        <w:spacing w:after="0"/>
      </w:pPr>
      <w:r>
        <w:separator/>
      </w:r>
    </w:p>
  </w:footnote>
  <w:footnote w:type="continuationSeparator" w:id="0">
    <w:p w14:paraId="64F377C1" w14:textId="77777777" w:rsidR="00475927" w:rsidRDefault="004759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7"/>
  </w:num>
  <w:num w:numId="21" w16cid:durableId="704597291">
    <w:abstractNumId w:val="40"/>
  </w:num>
  <w:num w:numId="22" w16cid:durableId="874150343">
    <w:abstractNumId w:val="32"/>
  </w:num>
  <w:num w:numId="23" w16cid:durableId="1374308038">
    <w:abstractNumId w:val="37"/>
  </w:num>
  <w:num w:numId="24" w16cid:durableId="2101834346">
    <w:abstractNumId w:val="45"/>
  </w:num>
  <w:num w:numId="25" w16cid:durableId="1920750834">
    <w:abstractNumId w:val="28"/>
  </w:num>
  <w:num w:numId="26" w16cid:durableId="29647353">
    <w:abstractNumId w:val="22"/>
  </w:num>
  <w:num w:numId="27" w16cid:durableId="1677926485">
    <w:abstractNumId w:val="36"/>
  </w:num>
  <w:num w:numId="28" w16cid:durableId="180048914">
    <w:abstractNumId w:val="25"/>
  </w:num>
  <w:num w:numId="29" w16cid:durableId="1368916021">
    <w:abstractNumId w:val="24"/>
  </w:num>
  <w:num w:numId="30" w16cid:durableId="1502506586">
    <w:abstractNumId w:val="39"/>
  </w:num>
  <w:num w:numId="31" w16cid:durableId="1603369063">
    <w:abstractNumId w:val="23"/>
  </w:num>
  <w:num w:numId="32" w16cid:durableId="781069454">
    <w:abstractNumId w:val="26"/>
  </w:num>
  <w:num w:numId="33" w16cid:durableId="1486580316">
    <w:abstractNumId w:val="30"/>
  </w:num>
  <w:num w:numId="34" w16cid:durableId="1103770243">
    <w:abstractNumId w:val="38"/>
  </w:num>
  <w:num w:numId="35" w16cid:durableId="1157917073">
    <w:abstractNumId w:val="29"/>
  </w:num>
  <w:num w:numId="36" w16cid:durableId="556476037">
    <w:abstractNumId w:val="43"/>
  </w:num>
  <w:num w:numId="37" w16cid:durableId="1853491504">
    <w:abstractNumId w:val="21"/>
  </w:num>
  <w:num w:numId="38" w16cid:durableId="741680425">
    <w:abstractNumId w:val="33"/>
  </w:num>
  <w:num w:numId="39" w16cid:durableId="99107382">
    <w:abstractNumId w:val="41"/>
  </w:num>
  <w:num w:numId="40" w16cid:durableId="1822965173">
    <w:abstractNumId w:val="34"/>
  </w:num>
  <w:num w:numId="41" w16cid:durableId="630015623">
    <w:abstractNumId w:val="44"/>
  </w:num>
  <w:num w:numId="42" w16cid:durableId="460806315">
    <w:abstractNumId w:val="35"/>
  </w:num>
  <w:num w:numId="43" w16cid:durableId="1810827505">
    <w:abstractNumId w:val="31"/>
  </w:num>
  <w:num w:numId="44" w16cid:durableId="1734890136">
    <w:abstractNumId w:val="0"/>
  </w:num>
  <w:num w:numId="45" w16cid:durableId="662517">
    <w:abstractNumId w:val="0"/>
  </w:num>
  <w:num w:numId="46" w16cid:durableId="1184856874">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5DB"/>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64D"/>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54D"/>
    <w:rsid w:val="000E3697"/>
    <w:rsid w:val="000E4B23"/>
    <w:rsid w:val="000E4B84"/>
    <w:rsid w:val="000E4F7A"/>
    <w:rsid w:val="000E5E31"/>
    <w:rsid w:val="000E6889"/>
    <w:rsid w:val="000F10F6"/>
    <w:rsid w:val="000F110B"/>
    <w:rsid w:val="000F1737"/>
    <w:rsid w:val="000F1CD0"/>
    <w:rsid w:val="000F3C17"/>
    <w:rsid w:val="000F6118"/>
    <w:rsid w:val="000F743C"/>
    <w:rsid w:val="000F766B"/>
    <w:rsid w:val="000F7CAE"/>
    <w:rsid w:val="00100FB2"/>
    <w:rsid w:val="00101741"/>
    <w:rsid w:val="001020F4"/>
    <w:rsid w:val="0010288C"/>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EDF"/>
    <w:rsid w:val="00176AC9"/>
    <w:rsid w:val="00182387"/>
    <w:rsid w:val="0018241F"/>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886"/>
    <w:rsid w:val="001C2A52"/>
    <w:rsid w:val="001C3A2A"/>
    <w:rsid w:val="001C3E48"/>
    <w:rsid w:val="001C4283"/>
    <w:rsid w:val="001C43BF"/>
    <w:rsid w:val="001C5141"/>
    <w:rsid w:val="001C5E09"/>
    <w:rsid w:val="001C6151"/>
    <w:rsid w:val="001C627B"/>
    <w:rsid w:val="001C6DA2"/>
    <w:rsid w:val="001C7FF3"/>
    <w:rsid w:val="001D046F"/>
    <w:rsid w:val="001D22D9"/>
    <w:rsid w:val="001D289C"/>
    <w:rsid w:val="001D3045"/>
    <w:rsid w:val="001D5919"/>
    <w:rsid w:val="001D64DD"/>
    <w:rsid w:val="001E01BD"/>
    <w:rsid w:val="001E07EF"/>
    <w:rsid w:val="001E1064"/>
    <w:rsid w:val="001E1489"/>
    <w:rsid w:val="001E314E"/>
    <w:rsid w:val="001E3A08"/>
    <w:rsid w:val="001E3E8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D2C"/>
    <w:rsid w:val="00203EDD"/>
    <w:rsid w:val="00204F41"/>
    <w:rsid w:val="0020558E"/>
    <w:rsid w:val="002072B0"/>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5AE0"/>
    <w:rsid w:val="00245CC7"/>
    <w:rsid w:val="00245F2C"/>
    <w:rsid w:val="0024751C"/>
    <w:rsid w:val="002509A5"/>
    <w:rsid w:val="00250FD7"/>
    <w:rsid w:val="002518E2"/>
    <w:rsid w:val="0025242C"/>
    <w:rsid w:val="0025245F"/>
    <w:rsid w:val="00254F41"/>
    <w:rsid w:val="00256DB7"/>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732"/>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2E43"/>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0B07"/>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D0"/>
    <w:rsid w:val="002F6BD8"/>
    <w:rsid w:val="002F7075"/>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5DB7"/>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3CB7"/>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222C"/>
    <w:rsid w:val="003A33E2"/>
    <w:rsid w:val="003A36D8"/>
    <w:rsid w:val="003A4F0A"/>
    <w:rsid w:val="003A4F79"/>
    <w:rsid w:val="003A4F90"/>
    <w:rsid w:val="003A509A"/>
    <w:rsid w:val="003A68FB"/>
    <w:rsid w:val="003A703F"/>
    <w:rsid w:val="003A722C"/>
    <w:rsid w:val="003B02CB"/>
    <w:rsid w:val="003B03A7"/>
    <w:rsid w:val="003B134B"/>
    <w:rsid w:val="003B134C"/>
    <w:rsid w:val="003B1E98"/>
    <w:rsid w:val="003B26C5"/>
    <w:rsid w:val="003B2841"/>
    <w:rsid w:val="003B31F6"/>
    <w:rsid w:val="003B3B08"/>
    <w:rsid w:val="003B42A9"/>
    <w:rsid w:val="003B4519"/>
    <w:rsid w:val="003B4693"/>
    <w:rsid w:val="003B5409"/>
    <w:rsid w:val="003B6DAB"/>
    <w:rsid w:val="003B7A71"/>
    <w:rsid w:val="003B7CD9"/>
    <w:rsid w:val="003C0B38"/>
    <w:rsid w:val="003C1824"/>
    <w:rsid w:val="003C1C93"/>
    <w:rsid w:val="003C3CE5"/>
    <w:rsid w:val="003C5F18"/>
    <w:rsid w:val="003C6E02"/>
    <w:rsid w:val="003C7F14"/>
    <w:rsid w:val="003D1ACA"/>
    <w:rsid w:val="003D26EE"/>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959"/>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4F8"/>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27"/>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334"/>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2B84"/>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393A"/>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270E"/>
    <w:rsid w:val="005A29A1"/>
    <w:rsid w:val="005A635B"/>
    <w:rsid w:val="005A6AF4"/>
    <w:rsid w:val="005B0AD2"/>
    <w:rsid w:val="005B19A6"/>
    <w:rsid w:val="005B1B64"/>
    <w:rsid w:val="005B1DBB"/>
    <w:rsid w:val="005B2BD2"/>
    <w:rsid w:val="005B3B02"/>
    <w:rsid w:val="005B3FB4"/>
    <w:rsid w:val="005B4266"/>
    <w:rsid w:val="005B4527"/>
    <w:rsid w:val="005B4FAC"/>
    <w:rsid w:val="005B7972"/>
    <w:rsid w:val="005B7E10"/>
    <w:rsid w:val="005C00E3"/>
    <w:rsid w:val="005C01C7"/>
    <w:rsid w:val="005C0526"/>
    <w:rsid w:val="005C09C3"/>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1B80"/>
    <w:rsid w:val="005E200C"/>
    <w:rsid w:val="005E2C1B"/>
    <w:rsid w:val="005E43BE"/>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69F8"/>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164"/>
    <w:rsid w:val="00705358"/>
    <w:rsid w:val="0070553A"/>
    <w:rsid w:val="0070563B"/>
    <w:rsid w:val="00705B61"/>
    <w:rsid w:val="00706F85"/>
    <w:rsid w:val="00710330"/>
    <w:rsid w:val="00710A5F"/>
    <w:rsid w:val="0071202E"/>
    <w:rsid w:val="007128BD"/>
    <w:rsid w:val="00712C7E"/>
    <w:rsid w:val="007135D7"/>
    <w:rsid w:val="007148E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3ECE"/>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1C9"/>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4EAD"/>
    <w:rsid w:val="00825AC0"/>
    <w:rsid w:val="008260BB"/>
    <w:rsid w:val="008263C0"/>
    <w:rsid w:val="00826791"/>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0AD"/>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975"/>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691C"/>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E7AF2"/>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5EC"/>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526"/>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1750B"/>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37FC8"/>
    <w:rsid w:val="00A40306"/>
    <w:rsid w:val="00A40B1F"/>
    <w:rsid w:val="00A41058"/>
    <w:rsid w:val="00A410CD"/>
    <w:rsid w:val="00A41F88"/>
    <w:rsid w:val="00A427EA"/>
    <w:rsid w:val="00A43D93"/>
    <w:rsid w:val="00A449BE"/>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0FA0"/>
    <w:rsid w:val="00A62674"/>
    <w:rsid w:val="00A62B67"/>
    <w:rsid w:val="00A63412"/>
    <w:rsid w:val="00A63973"/>
    <w:rsid w:val="00A64C30"/>
    <w:rsid w:val="00A64DC7"/>
    <w:rsid w:val="00A65A56"/>
    <w:rsid w:val="00A66219"/>
    <w:rsid w:val="00A667CF"/>
    <w:rsid w:val="00A67000"/>
    <w:rsid w:val="00A67761"/>
    <w:rsid w:val="00A702F5"/>
    <w:rsid w:val="00A70954"/>
    <w:rsid w:val="00A70E26"/>
    <w:rsid w:val="00A70F72"/>
    <w:rsid w:val="00A7114D"/>
    <w:rsid w:val="00A736E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4476"/>
    <w:rsid w:val="00BA68F0"/>
    <w:rsid w:val="00BA6AEF"/>
    <w:rsid w:val="00BA6FCC"/>
    <w:rsid w:val="00BA7FAF"/>
    <w:rsid w:val="00BB0E40"/>
    <w:rsid w:val="00BB152C"/>
    <w:rsid w:val="00BB288F"/>
    <w:rsid w:val="00BB2BA4"/>
    <w:rsid w:val="00BB2CD5"/>
    <w:rsid w:val="00BB3327"/>
    <w:rsid w:val="00BB471D"/>
    <w:rsid w:val="00BB6085"/>
    <w:rsid w:val="00BB641A"/>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52A"/>
    <w:rsid w:val="00C617C2"/>
    <w:rsid w:val="00C62272"/>
    <w:rsid w:val="00C63770"/>
    <w:rsid w:val="00C63B17"/>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561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283"/>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F0241"/>
    <w:rsid w:val="00CF28DB"/>
    <w:rsid w:val="00CF31C7"/>
    <w:rsid w:val="00CF5A41"/>
    <w:rsid w:val="00CF68B2"/>
    <w:rsid w:val="00CF7D81"/>
    <w:rsid w:val="00D00926"/>
    <w:rsid w:val="00D016A3"/>
    <w:rsid w:val="00D019A4"/>
    <w:rsid w:val="00D01C68"/>
    <w:rsid w:val="00D032E8"/>
    <w:rsid w:val="00D03A94"/>
    <w:rsid w:val="00D03F99"/>
    <w:rsid w:val="00D040B3"/>
    <w:rsid w:val="00D0675E"/>
    <w:rsid w:val="00D07A95"/>
    <w:rsid w:val="00D07DEB"/>
    <w:rsid w:val="00D11924"/>
    <w:rsid w:val="00D1517A"/>
    <w:rsid w:val="00D15A33"/>
    <w:rsid w:val="00D16FBF"/>
    <w:rsid w:val="00D170A0"/>
    <w:rsid w:val="00D20C6F"/>
    <w:rsid w:val="00D20EAD"/>
    <w:rsid w:val="00D20FA8"/>
    <w:rsid w:val="00D21911"/>
    <w:rsid w:val="00D21A0C"/>
    <w:rsid w:val="00D22335"/>
    <w:rsid w:val="00D22D07"/>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37ED7"/>
    <w:rsid w:val="00D40903"/>
    <w:rsid w:val="00D416DA"/>
    <w:rsid w:val="00D420BB"/>
    <w:rsid w:val="00D43327"/>
    <w:rsid w:val="00D43453"/>
    <w:rsid w:val="00D43990"/>
    <w:rsid w:val="00D450DF"/>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924"/>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C7E"/>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468"/>
    <w:rsid w:val="00EE0633"/>
    <w:rsid w:val="00EE0E86"/>
    <w:rsid w:val="00EE1A10"/>
    <w:rsid w:val="00EE1F3F"/>
    <w:rsid w:val="00EE37FE"/>
    <w:rsid w:val="00EE590A"/>
    <w:rsid w:val="00EE67B4"/>
    <w:rsid w:val="00EE6BD0"/>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82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5687"/>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633"/>
    <w:rsid w:val="00FD1AA4"/>
    <w:rsid w:val="00FD3FC3"/>
    <w:rsid w:val="00FD43EE"/>
    <w:rsid w:val="00FD4CA5"/>
    <w:rsid w:val="00FD50AD"/>
    <w:rsid w:val="00FD59DB"/>
    <w:rsid w:val="00FD5ACE"/>
    <w:rsid w:val="00FD5B65"/>
    <w:rsid w:val="00FD72C0"/>
    <w:rsid w:val="00FE1525"/>
    <w:rsid w:val="00FE16B8"/>
    <w:rsid w:val="00FE17DB"/>
    <w:rsid w:val="00FE1D53"/>
    <w:rsid w:val="00FE25A3"/>
    <w:rsid w:val="00FE4565"/>
    <w:rsid w:val="00FE489C"/>
    <w:rsid w:val="00FE4DEE"/>
    <w:rsid w:val="00FE4E34"/>
    <w:rsid w:val="00FE60FB"/>
    <w:rsid w:val="00FE648A"/>
    <w:rsid w:val="00FE6B3C"/>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37FC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384</TotalTime>
  <Pages>3</Pages>
  <Words>890</Words>
  <Characters>5076</Characters>
  <Application>Microsoft Office Word</Application>
  <DocSecurity>0</DocSecurity>
  <Lines>42</Lines>
  <Paragraphs>11</Paragraphs>
  <ScaleCrop>false</ScaleCrop>
  <Company>Tom</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103</cp:revision>
  <cp:lastPrinted>1995-11-21T09:41:00Z</cp:lastPrinted>
  <dcterms:created xsi:type="dcterms:W3CDTF">2022-11-07T09:43:00Z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